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200" w:type="dxa"/>
          <w:right w:w="200" w:type="dxa"/>
        </w:tblCellMar>
        <w:tblLayout w:type="fixed"/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/>
                <w:color w:val="C0392B"/>
                <w:sz w:val="26"/>
              </w:rPr>
              <w:t>○○ベーカリー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404040"/>
                <w:sz w:val="15"/>
              </w:rPr>
              <w:t>お買い上げ500円ごとにスタンプ1個</w:t>
            </w:r>
          </w:p>
          <w:p>
            <w:pPr>
              <w:spacing w:before="120" w:after="0"/>
              <w:jc w:val="center"/>
            </w:pPr>
            <w:r>
              <w:rPr>
                <w:b w:val="0"/>
                <w:color w:val="595959"/>
                <w:sz w:val="14"/>
              </w:rPr>
              <w:t>営業時間 7:00〜18:00(水曜定休)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595959"/>
                <w:sz w:val="14"/>
              </w:rPr>
              <w:t>○○市○○町1-2-3　TEL 00-0000-0000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14"/>
              </w:rPr>
              <w:t>有効期限:　　年　　月　　日まで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340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ゴシック" w:hAnsi="游ゴシック" w:eastAsia="游ゴシック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